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ind w:left="0" w:firstLine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Orientations générales de la Politique documentaire</w:t>
      </w:r>
    </w:p>
    <w:p w:rsidR="00000000" w:rsidDel="00000000" w:rsidP="00000000" w:rsidRDefault="00000000" w:rsidRPr="00000000" w14:paraId="00000002">
      <w:pPr>
        <w:widowControl w:val="0"/>
        <w:ind w:left="0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(proposition de trame janvier 2024)</w:t>
      </w:r>
    </w:p>
    <w:p w:rsidR="00000000" w:rsidDel="00000000" w:rsidP="00000000" w:rsidRDefault="00000000" w:rsidRPr="00000000" w14:paraId="00000003">
      <w:pPr>
        <w:widowControl w:val="0"/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Préambule - Introduction : Pourquoi ? </w:t>
      </w:r>
    </w:p>
    <w:p w:rsidR="00000000" w:rsidDel="00000000" w:rsidP="00000000" w:rsidRDefault="00000000" w:rsidRPr="00000000" w14:paraId="00000005">
      <w:pPr>
        <w:widowControl w:val="0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possibilité de faire référence à la Loi Robert</w:t>
      </w:r>
    </w:p>
    <w:p w:rsidR="00000000" w:rsidDel="00000000" w:rsidP="00000000" w:rsidRDefault="00000000" w:rsidRPr="00000000" w14:paraId="00000006">
      <w:pPr>
        <w:widowControl w:val="0"/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Contexte : éléments sur le contexte territorial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spacing w:after="0" w:after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Décrire les contexte local, collectivité, politique culturelle, éducative et social + bib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after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Intégration dans un réseau ? Partenariat avec la BD</w:t>
      </w:r>
    </w:p>
    <w:p w:rsidR="00000000" w:rsidDel="00000000" w:rsidP="00000000" w:rsidRDefault="00000000" w:rsidRPr="00000000" w14:paraId="0000000A">
      <w:pPr>
        <w:widowControl w:val="0"/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Les missions d’une bibliothèque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6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faire référence aux articles de la loi Robert (article 1 et les articles sur les collections)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6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reprendre, le cas échéant, certains axes du CTL, PCSES ou Projet de service</w:t>
      </w:r>
    </w:p>
    <w:p w:rsidR="00000000" w:rsidDel="00000000" w:rsidP="00000000" w:rsidRDefault="00000000" w:rsidRPr="00000000" w14:paraId="0000000D">
      <w:pPr>
        <w:widowControl w:val="0"/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Publics visés : lister les publics cibles</w:t>
      </w:r>
    </w:p>
    <w:p w:rsidR="00000000" w:rsidDel="00000000" w:rsidP="00000000" w:rsidRDefault="00000000" w:rsidRPr="00000000" w14:paraId="0000000F">
      <w:pPr>
        <w:widowControl w:val="0"/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La gestion des collections 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4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quelle organisation des collections ?</w:t>
      </w:r>
    </w:p>
    <w:p w:rsidR="00000000" w:rsidDel="00000000" w:rsidP="00000000" w:rsidRDefault="00000000" w:rsidRPr="00000000" w14:paraId="00000012">
      <w:pPr>
        <w:widowControl w:val="0"/>
        <w:numPr>
          <w:ilvl w:val="1"/>
          <w:numId w:val="4"/>
        </w:numPr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Volumétrie, répartition par grands secteurs. Type de supports</w:t>
      </w:r>
    </w:p>
    <w:p w:rsidR="00000000" w:rsidDel="00000000" w:rsidP="00000000" w:rsidRDefault="00000000" w:rsidRPr="00000000" w14:paraId="00000013">
      <w:pPr>
        <w:widowControl w:val="0"/>
        <w:numPr>
          <w:ilvl w:val="1"/>
          <w:numId w:val="4"/>
        </w:numPr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Existence de fonds spécifiques: FAL, dys, fonds patrimonial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4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Pluralisme et rappel de la Loi Robert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4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Modalités d’acquisition</w:t>
      </w:r>
    </w:p>
    <w:p w:rsidR="00000000" w:rsidDel="00000000" w:rsidP="00000000" w:rsidRDefault="00000000" w:rsidRPr="00000000" w14:paraId="00000016">
      <w:pPr>
        <w:widowControl w:val="0"/>
        <w:numPr>
          <w:ilvl w:val="1"/>
          <w:numId w:val="4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Expliciter comment sont achetés les documents (fournisseurs, marchés, rythme des commandes)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4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Définition des responsabilités en terme d’acquisitions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4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Budget et taux de renouvellement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4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Critères généraux de choix et d’exclusion.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4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Traitement des suggestions des usagers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4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Dons et échanges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4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Complémentarité documentaire au sein d’un réseau</w:t>
      </w:r>
    </w:p>
    <w:p w:rsidR="00000000" w:rsidDel="00000000" w:rsidP="00000000" w:rsidRDefault="00000000" w:rsidRPr="00000000" w14:paraId="0000001D">
      <w:pPr>
        <w:widowControl w:val="0"/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Règles générales d’élimination et de conservation</w:t>
      </w:r>
    </w:p>
    <w:p w:rsidR="00000000" w:rsidDel="00000000" w:rsidP="00000000" w:rsidRDefault="00000000" w:rsidRPr="00000000" w14:paraId="0000001F">
      <w:pPr>
        <w:widowControl w:val="0"/>
        <w:ind w:left="0" w:firstLine="0"/>
        <w:rPr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2"/>
        <w:keepNext w:val="0"/>
        <w:keepLines w:val="0"/>
        <w:widowControl w:val="0"/>
        <w:spacing w:after="80" w:lineRule="auto"/>
        <w:rPr>
          <w:b w:val="1"/>
          <w:sz w:val="28"/>
          <w:szCs w:val="28"/>
        </w:rPr>
      </w:pPr>
      <w:bookmarkStart w:colFirst="0" w:colLast="0" w:name="_lwvyffhgxrtl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Accès et médiation</w:t>
      </w:r>
    </w:p>
    <w:p w:rsidR="00000000" w:rsidDel="00000000" w:rsidP="00000000" w:rsidRDefault="00000000" w:rsidRPr="00000000" w14:paraId="00000021">
      <w:pPr>
        <w:pStyle w:val="Heading3"/>
        <w:keepNext w:val="0"/>
        <w:keepLines w:val="0"/>
        <w:widowControl w:val="0"/>
        <w:spacing w:before="280" w:lineRule="auto"/>
        <w:rPr>
          <w:b w:val="1"/>
          <w:color w:val="000000"/>
        </w:rPr>
      </w:pPr>
      <w:bookmarkStart w:colFirst="0" w:colLast="0" w:name="_paaksk4ejv6d" w:id="1"/>
      <w:bookmarkEnd w:id="1"/>
      <w:r w:rsidDel="00000000" w:rsidR="00000000" w:rsidRPr="00000000">
        <w:rPr>
          <w:b w:val="1"/>
          <w:color w:val="000000"/>
          <w:rtl w:val="0"/>
        </w:rPr>
        <w:t xml:space="preserve">Accès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5"/>
        </w:numPr>
        <w:spacing w:after="0" w:afterAutospacing="0" w:before="240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rappeler la gratuité d’accès aux espaces publics de la médiathèque, ainsi qu’à la consultation sur place de ses ressources, est libre et gratuit. 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5"/>
        </w:numPr>
        <w:spacing w:after="240" w:before="0" w:beforeAutospacing="0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Respect des normes d’accessibilité pour tous au bâtiment, aux circulations intérieures, aux collections et aux services.</w:t>
      </w:r>
    </w:p>
    <w:p w:rsidR="00000000" w:rsidDel="00000000" w:rsidP="00000000" w:rsidRDefault="00000000" w:rsidRPr="00000000" w14:paraId="00000024">
      <w:pPr>
        <w:pStyle w:val="Heading3"/>
        <w:keepNext w:val="0"/>
        <w:keepLines w:val="0"/>
        <w:widowControl w:val="0"/>
        <w:spacing w:before="280" w:lineRule="auto"/>
        <w:rPr>
          <w:b w:val="1"/>
          <w:color w:val="000000"/>
        </w:rPr>
      </w:pPr>
      <w:bookmarkStart w:colFirst="0" w:colLast="0" w:name="_k7b7yekauoqb" w:id="2"/>
      <w:bookmarkEnd w:id="2"/>
      <w:r w:rsidDel="00000000" w:rsidR="00000000" w:rsidRPr="00000000">
        <w:rPr>
          <w:b w:val="1"/>
          <w:color w:val="000000"/>
          <w:rtl w:val="0"/>
        </w:rPr>
        <w:t xml:space="preserve">Accès à distance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2"/>
        </w:numPr>
        <w:spacing w:after="240" w:before="240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Présenter les services à distance: le catalogue en ligne à distance, la navette et les réservations, les ressources numériques, le portage à domicile…</w:t>
      </w:r>
    </w:p>
    <w:p w:rsidR="00000000" w:rsidDel="00000000" w:rsidP="00000000" w:rsidRDefault="00000000" w:rsidRPr="00000000" w14:paraId="00000026">
      <w:pPr>
        <w:pStyle w:val="Heading3"/>
        <w:keepNext w:val="0"/>
        <w:keepLines w:val="0"/>
        <w:widowControl w:val="0"/>
        <w:spacing w:before="280" w:lineRule="auto"/>
        <w:rPr>
          <w:b w:val="1"/>
          <w:color w:val="000000"/>
        </w:rPr>
      </w:pPr>
      <w:bookmarkStart w:colFirst="0" w:colLast="0" w:name="_yu5t7aii3yxf" w:id="3"/>
      <w:bookmarkEnd w:id="3"/>
      <w:r w:rsidDel="00000000" w:rsidR="00000000" w:rsidRPr="00000000">
        <w:rPr>
          <w:b w:val="1"/>
          <w:color w:val="000000"/>
          <w:rtl w:val="0"/>
        </w:rPr>
        <w:t xml:space="preserve">Modalités d’organisation et de communication des documents</w:t>
      </w:r>
    </w:p>
    <w:p w:rsidR="00000000" w:rsidDel="00000000" w:rsidP="00000000" w:rsidRDefault="00000000" w:rsidRPr="00000000" w14:paraId="00000027">
      <w:pPr>
        <w:widowControl w:val="0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 plupart des documents sont proposés en accès libre et en prêt direct au public. Autres éléments à expliquer.</w:t>
      </w:r>
    </w:p>
    <w:p w:rsidR="00000000" w:rsidDel="00000000" w:rsidP="00000000" w:rsidRDefault="00000000" w:rsidRPr="00000000" w14:paraId="00000028">
      <w:pPr>
        <w:pStyle w:val="Heading3"/>
        <w:keepNext w:val="0"/>
        <w:keepLines w:val="0"/>
        <w:widowControl w:val="0"/>
        <w:spacing w:before="280" w:lineRule="auto"/>
        <w:rPr>
          <w:b w:val="1"/>
          <w:color w:val="000000"/>
        </w:rPr>
      </w:pPr>
      <w:bookmarkStart w:colFirst="0" w:colLast="0" w:name="_rui3dq8r5gk4" w:id="4"/>
      <w:bookmarkEnd w:id="4"/>
      <w:r w:rsidDel="00000000" w:rsidR="00000000" w:rsidRPr="00000000">
        <w:rPr>
          <w:b w:val="1"/>
          <w:color w:val="000000"/>
          <w:rtl w:val="0"/>
        </w:rPr>
        <w:t xml:space="preserve">Médiation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3"/>
        </w:numPr>
        <w:spacing w:after="0" w:afterAutospacing="0" w:before="240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Les bibliothécaires conseillent, effectuent des recherches et accompagnent les lecteurs.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Les bibliothécaires mettent en valeur les collections de multiples manières sur place et à distance (préciser ou pas comment)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3"/>
        </w:numPr>
        <w:spacing w:after="240" w:before="0" w:beforeAutospacing="0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Indiquer si le public est invité à participer à partager ses coups de cœur.</w:t>
      </w:r>
    </w:p>
    <w:p w:rsidR="00000000" w:rsidDel="00000000" w:rsidP="00000000" w:rsidRDefault="00000000" w:rsidRPr="00000000" w14:paraId="0000002C">
      <w:pPr>
        <w:pStyle w:val="Heading2"/>
        <w:keepNext w:val="0"/>
        <w:keepLines w:val="0"/>
        <w:widowControl w:val="0"/>
        <w:spacing w:after="80" w:lineRule="auto"/>
        <w:rPr>
          <w:b w:val="1"/>
          <w:sz w:val="28"/>
          <w:szCs w:val="28"/>
        </w:rPr>
      </w:pPr>
      <w:bookmarkStart w:colFirst="0" w:colLast="0" w:name="_yqfdjbydrgp" w:id="5"/>
      <w:bookmarkEnd w:id="5"/>
      <w:r w:rsidDel="00000000" w:rsidR="00000000" w:rsidRPr="00000000">
        <w:rPr>
          <w:b w:val="1"/>
          <w:sz w:val="28"/>
          <w:szCs w:val="28"/>
          <w:rtl w:val="0"/>
        </w:rPr>
        <w:t xml:space="preserve">Les partenariats</w:t>
      </w:r>
    </w:p>
    <w:p w:rsidR="00000000" w:rsidDel="00000000" w:rsidP="00000000" w:rsidRDefault="00000000" w:rsidRPr="00000000" w14:paraId="0000002D">
      <w:pPr>
        <w:widowControl w:val="0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Expliquer les objectifs, présenter et lister les partenariats de manière plus ou moins détaillée.</w:t>
      </w:r>
    </w:p>
    <w:p w:rsidR="00000000" w:rsidDel="00000000" w:rsidP="00000000" w:rsidRDefault="00000000" w:rsidRPr="00000000" w14:paraId="0000002E">
      <w:pPr>
        <w:widowControl w:val="0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jc w:val="center"/>
      <w:rPr/>
    </w:pPr>
    <w:r w:rsidDel="00000000" w:rsidR="00000000" w:rsidRPr="00000000">
      <w:rPr>
        <w:rtl w:val="0"/>
      </w:rPr>
      <w:t xml:space="preserve">Formation Politique documentaire Xavier Galaup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